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#100</w:t>
      </w:r>
      <w:r>
        <w:rPr>
          <w:b/>
          <w:sz w:val="24"/>
        </w:rPr>
        <w:tab/>
      </w:r>
      <w:r>
        <w:rPr>
          <w:rFonts w:hint="eastAsia"/>
          <w:b/>
          <w:sz w:val="24"/>
          <w:highlight w:val="none"/>
        </w:rPr>
        <w:t>R5-23</w:t>
      </w:r>
      <w:r>
        <w:rPr>
          <w:rFonts w:hint="eastAsia"/>
          <w:b/>
          <w:sz w:val="24"/>
          <w:highlight w:val="none"/>
          <w:lang w:val="en-US" w:eastAsia="zh-CN"/>
        </w:rPr>
        <w:t>4754</w:t>
      </w:r>
    </w:p>
    <w:p>
      <w:pPr>
        <w:pStyle w:val="104"/>
        <w:tabs>
          <w:tab w:val="right" w:pos="9639"/>
        </w:tabs>
        <w:spacing w:after="0"/>
        <w:outlineLvl w:val="0"/>
        <w:rPr>
          <w:b/>
          <w:sz w:val="24"/>
        </w:rPr>
      </w:pPr>
      <w:r>
        <w:rPr>
          <w:rFonts w:hint="eastAsia"/>
          <w:b/>
          <w:sz w:val="24"/>
          <w:lang w:val="en-US"/>
        </w:rPr>
        <w:t>Toulouse, France, Aug 21 - 25, 2023</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1</w:t>
      </w:r>
      <w:r>
        <w:rPr>
          <w:b/>
          <w:sz w:val="24"/>
        </w:rPr>
        <w:tab/>
      </w:r>
      <w:r>
        <w:rPr>
          <w:b/>
          <w:sz w:val="24"/>
          <w:highlight w:val="yellow"/>
        </w:rPr>
        <w:t>RP-2</w:t>
      </w:r>
      <w:r>
        <w:rPr>
          <w:b/>
          <w:sz w:val="24"/>
          <w:highlight w:val="yellow"/>
          <w:lang w:val="en-US"/>
        </w:rPr>
        <w:t>3XXXX</w:t>
      </w:r>
    </w:p>
    <w:p>
      <w:pPr>
        <w:pStyle w:val="104"/>
        <w:tabs>
          <w:tab w:val="right" w:pos="9639"/>
        </w:tabs>
        <w:spacing w:after="0"/>
        <w:rPr>
          <w:b/>
          <w:sz w:val="24"/>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ascii="Arial" w:hAnsi="Arial" w:eastAsia="宋体" w:cs="Arial"/>
                <w:color w:val="00B050"/>
                <w:kern w:val="2"/>
                <w:sz w:val="21"/>
                <w:szCs w:val="22"/>
                <w:lang w:val="en-US"/>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ascii="Arial" w:hAnsi="Arial" w:eastAsia="宋体" w:cs="Arial"/>
                <w:color w:val="00B050"/>
                <w:kern w:val="2"/>
                <w:sz w:val="21"/>
                <w:szCs w:val="22"/>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51</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RAN5#9</w:t>
      </w:r>
      <w:r>
        <w:rPr>
          <w:rFonts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R5-23475</w:t>
      </w:r>
      <w:r>
        <w:rPr>
          <w:rFonts w:hint="eastAsia" w:ascii="Arial" w:hAnsi="Arial" w:eastAsia="宋体" w:cs="Arial"/>
          <w:highlight w:val="none"/>
          <w:lang w:val="en-US" w:eastAsia="zh-CN"/>
        </w:rPr>
        <w:t>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51</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yellow"/>
        </w:rPr>
      </w:pPr>
      <w:r>
        <w:rPr>
          <w:rFonts w:hint="default" w:ascii="Arial" w:hAnsi="Arial" w:cs="Arial"/>
          <w:highlight w:val="yellow"/>
          <w:lang w:val="en-US"/>
        </w:rPr>
        <w:t xml:space="preserve">For test environment, </w:t>
      </w:r>
      <w:r>
        <w:rPr>
          <w:rFonts w:hint="eastAsia" w:ascii="Arial" w:hAnsi="Arial" w:cs="Arial" w:eastAsiaTheme="minorEastAsia"/>
          <w:highlight w:val="yellow"/>
          <w:lang w:val="en-US" w:eastAsia="zh-CN"/>
        </w:rPr>
        <w:t>4</w:t>
      </w:r>
      <w:r>
        <w:rPr>
          <w:rFonts w:hint="eastAsia" w:ascii="Arial" w:hAnsi="Arial" w:cs="Arial" w:eastAsiaTheme="minorEastAsia"/>
          <w:highlight w:val="yellow"/>
        </w:rPr>
        <w:t xml:space="preserve"> </w:t>
      </w:r>
      <w:r>
        <w:rPr>
          <w:rFonts w:ascii="Arial" w:hAnsi="Arial" w:cs="Arial"/>
          <w:highlight w:val="yellow"/>
          <w:lang w:val="en-US"/>
        </w:rPr>
        <w:t xml:space="preserve">Tdocs </w:t>
      </w:r>
      <w:r>
        <w:rPr>
          <w:rFonts w:hint="eastAsia" w:ascii="Arial" w:hAnsi="Arial" w:cs="Arial" w:eastAsiaTheme="minorEastAsia"/>
          <w:highlight w:val="yellow"/>
        </w:rPr>
        <w:t>were agreed</w:t>
      </w:r>
      <w:r>
        <w:rPr>
          <w:rFonts w:ascii="Arial" w:hAnsi="Arial" w:cs="Arial" w:eastAsiaTheme="minorEastAsia"/>
          <w:highlight w:val="yellow"/>
          <w:lang w:val="en-US"/>
        </w:rPr>
        <w:t>.</w:t>
      </w:r>
    </w:p>
    <w:p>
      <w:pPr>
        <w:numPr>
          <w:ilvl w:val="0"/>
          <w:numId w:val="5"/>
        </w:numPr>
        <w:overflowPunct/>
        <w:autoSpaceDE/>
        <w:autoSpaceDN/>
        <w:snapToGrid w:val="0"/>
        <w:spacing w:after="156" w:afterLines="50"/>
        <w:textAlignment w:val="auto"/>
        <w:rPr>
          <w:rFonts w:ascii="Arial" w:hAnsi="Arial" w:cs="Arial"/>
          <w:highlight w:val="yellow"/>
        </w:rPr>
      </w:pPr>
      <w:r>
        <w:rPr>
          <w:rFonts w:hint="eastAsia" w:ascii="Arial" w:hAnsi="Arial" w:cs="Arial" w:eastAsiaTheme="minorEastAsia"/>
          <w:highlight w:val="yellow"/>
        </w:rPr>
        <w:t xml:space="preserve">For </w:t>
      </w:r>
      <w:r>
        <w:rPr>
          <w:rFonts w:ascii="Arial" w:hAnsi="Arial" w:cs="Arial" w:eastAsiaTheme="minorEastAsia"/>
          <w:highlight w:val="yellow"/>
          <w:lang w:val="en-US"/>
        </w:rPr>
        <w:t>RF/Demod conformance test cases</w:t>
      </w:r>
      <w:r>
        <w:rPr>
          <w:rFonts w:hint="eastAsia" w:ascii="Arial" w:hAnsi="Arial" w:cs="Arial" w:eastAsiaTheme="minorEastAsia"/>
          <w:highlight w:val="yellow"/>
        </w:rPr>
        <w:t xml:space="preserve">, </w:t>
      </w:r>
      <w:r>
        <w:rPr>
          <w:rFonts w:hint="eastAsia" w:ascii="Arial" w:hAnsi="Arial" w:cs="Arial" w:eastAsiaTheme="minorEastAsia"/>
          <w:highlight w:val="yellow"/>
          <w:lang w:val="en-US" w:eastAsia="zh-CN"/>
        </w:rPr>
        <w:t>74</w:t>
      </w:r>
      <w:r>
        <w:rPr>
          <w:rFonts w:hint="eastAsia" w:ascii="Arial" w:hAnsi="Arial" w:cs="Arial" w:eastAsiaTheme="minorEastAsia"/>
          <w:highlight w:val="yellow"/>
        </w:rPr>
        <w:t xml:space="preserve"> </w:t>
      </w:r>
      <w:r>
        <w:rPr>
          <w:rFonts w:ascii="Arial" w:hAnsi="Arial" w:cs="Arial"/>
          <w:highlight w:val="yellow"/>
          <w:lang w:val="en-US"/>
        </w:rPr>
        <w:t xml:space="preserve">Tdocs </w:t>
      </w:r>
      <w:r>
        <w:rPr>
          <w:rFonts w:hint="eastAsia" w:ascii="Arial" w:hAnsi="Arial" w:cs="Arial" w:eastAsiaTheme="minorEastAsia"/>
          <w:highlight w:val="yellow"/>
        </w:rPr>
        <w:t>were agreed</w:t>
      </w:r>
      <w:r>
        <w:rPr>
          <w:rFonts w:ascii="Arial" w:hAnsi="Arial" w:cs="Arial" w:eastAsiaTheme="minorEastAsia"/>
          <w:highlight w:val="yellow"/>
          <w:lang w:val="en-US"/>
        </w:rPr>
        <w:t>.</w:t>
      </w:r>
    </w:p>
    <w:p>
      <w:pPr>
        <w:numPr>
          <w:ilvl w:val="0"/>
          <w:numId w:val="5"/>
        </w:numPr>
        <w:overflowPunct/>
        <w:autoSpaceDE/>
        <w:autoSpaceDN/>
        <w:snapToGrid w:val="0"/>
        <w:spacing w:after="156" w:afterLines="50"/>
        <w:textAlignment w:val="auto"/>
        <w:rPr>
          <w:rFonts w:ascii="Arial" w:hAnsi="Arial" w:cs="Arial"/>
          <w:highlight w:val="yellow"/>
        </w:rPr>
      </w:pPr>
      <w:r>
        <w:rPr>
          <w:rFonts w:hint="eastAsia" w:ascii="Arial" w:hAnsi="Arial" w:cs="Arial" w:eastAsiaTheme="minorEastAsia"/>
          <w:highlight w:val="yellow"/>
        </w:rPr>
        <w:t xml:space="preserve">For </w:t>
      </w:r>
      <w:r>
        <w:rPr>
          <w:rFonts w:ascii="Arial" w:hAnsi="Arial" w:cs="Arial" w:eastAsiaTheme="minorEastAsia"/>
          <w:highlight w:val="yellow"/>
          <w:lang w:val="en-US"/>
        </w:rPr>
        <w:t>TT analysis</w:t>
      </w:r>
      <w:r>
        <w:rPr>
          <w:rFonts w:hint="eastAsia" w:ascii="Arial" w:hAnsi="Arial" w:cs="Arial" w:eastAsiaTheme="minorEastAsia"/>
          <w:highlight w:val="yellow"/>
        </w:rPr>
        <w:t xml:space="preserve">, </w:t>
      </w:r>
      <w:r>
        <w:rPr>
          <w:rFonts w:hint="eastAsia" w:ascii="Arial" w:hAnsi="Arial" w:cs="Arial" w:eastAsiaTheme="minorEastAsia"/>
          <w:highlight w:val="yellow"/>
          <w:lang w:val="en-US"/>
        </w:rPr>
        <w:t>1</w:t>
      </w:r>
      <w:r>
        <w:rPr>
          <w:rFonts w:hint="eastAsia" w:ascii="Arial" w:hAnsi="Arial" w:cs="Arial" w:eastAsiaTheme="minorEastAsia"/>
          <w:highlight w:val="yellow"/>
        </w:rPr>
        <w:t xml:space="preserve"> </w:t>
      </w:r>
      <w:r>
        <w:rPr>
          <w:rFonts w:ascii="Arial" w:hAnsi="Arial" w:cs="Arial"/>
          <w:highlight w:val="yellow"/>
          <w:lang w:val="en-US"/>
        </w:rPr>
        <w:t xml:space="preserve">Tdoc </w:t>
      </w:r>
      <w:r>
        <w:rPr>
          <w:rFonts w:ascii="Arial" w:hAnsi="Arial" w:cs="Arial"/>
          <w:highlight w:val="yellow"/>
        </w:rPr>
        <w:t>w</w:t>
      </w:r>
      <w:r>
        <w:rPr>
          <w:rFonts w:hint="eastAsia" w:ascii="Arial" w:hAnsi="Arial" w:eastAsia="宋体" w:cs="Arial"/>
          <w:highlight w:val="yellow"/>
          <w:lang w:val="en-US"/>
        </w:rPr>
        <w:t>as</w:t>
      </w:r>
      <w:r>
        <w:rPr>
          <w:rFonts w:ascii="Arial" w:hAnsi="Arial" w:cs="Arial"/>
          <w:highlight w:val="yellow"/>
        </w:rPr>
        <w:t xml:space="preserve"> agreed</w:t>
      </w:r>
      <w:r>
        <w:rPr>
          <w:rFonts w:hint="eastAsia" w:ascii="Arial" w:hAnsi="Arial" w:cs="Arial" w:eastAsiaTheme="minorEastAsia"/>
          <w:highlight w:val="yellow"/>
        </w:rPr>
        <w:t>.</w:t>
      </w:r>
    </w:p>
    <w:p>
      <w:pPr>
        <w:pStyle w:val="5"/>
        <w:rPr>
          <w:lang w:eastAsia="ja-JP"/>
        </w:rPr>
      </w:pPr>
      <w:r>
        <w:rPr>
          <w:lang w:eastAsia="ja-JP"/>
        </w:rPr>
        <w:t>2.5.2</w:t>
      </w:r>
      <w:r>
        <w:rPr>
          <w:lang w:eastAsia="ja-JP"/>
        </w:rPr>
        <w:tab/>
      </w:r>
      <w:r>
        <w:rPr>
          <w:lang w:eastAsia="ja-JP"/>
        </w:rPr>
        <w:t>Remaining Open issues</w:t>
      </w:r>
      <w:bookmarkStart w:id="0" w:name="_GoBack"/>
      <w:bookmarkEnd w:id="0"/>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R5-23475</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100</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R5-234756</w:t>
      </w:r>
      <w:r>
        <w:rPr>
          <w:rFonts w:ascii="Arial" w:hAnsi="Arial" w:cs="Arial" w:eastAsiaTheme="minorEastAsia"/>
          <w:highlight w:val="none"/>
          <w:lang w:val="en-US"/>
        </w:rPr>
        <w:t xml:space="preserve"> Disc on handling of R18 IoT NTN TCs in 36521-4, </w:t>
      </w:r>
      <w:r>
        <w:rPr>
          <w:rFonts w:hint="eastAsia" w:ascii="Arial" w:hAnsi="Arial" w:cs="Arial" w:eastAsiaTheme="minorEastAsia"/>
          <w:highlight w:val="none"/>
          <w:lang w:val="en-US"/>
        </w:rPr>
        <w:t>CMCC, Mediatek, Keysight, Thales, Google, China Telecom</w:t>
      </w:r>
    </w:p>
    <w:p>
      <w:pPr>
        <w:numPr>
          <w:ilvl w:val="0"/>
          <w:numId w:val="6"/>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R5-235184</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On Measurement uncertainties and test tolerances for IoT NTN Tx-Rx test cases</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R5-235189r2</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Delays in IoT NTN communications</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R5-235192</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On Editor's note clean-up</w:t>
      </w:r>
      <w:r>
        <w:rPr>
          <w:rFonts w:ascii="Arial" w:hAnsi="Arial" w:cs="Arial" w:eastAsiaTheme="minorEastAsia"/>
          <w:highlight w:val="yellow"/>
          <w:lang w:val="en-US"/>
        </w:rPr>
        <w:t xml:space="preserve">, </w:t>
      </w:r>
      <w:r>
        <w:rPr>
          <w:rFonts w:hint="eastAsia" w:ascii="Arial" w:hAnsi="Arial" w:cs="Arial" w:eastAsiaTheme="minorEastAsia"/>
          <w:highlight w:val="yellow"/>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LS on applicability of DEMOD and CSI requirements for IoT-NTN UE,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yellow"/>
        </w:rPr>
      </w:pPr>
      <w:r>
        <w:rPr>
          <w:rFonts w:hint="eastAsia" w:ascii="Arial" w:hAnsi="Arial" w:eastAsia="宋体" w:cs="Arial"/>
          <w:b/>
          <w:highlight w:val="yellow"/>
        </w:rPr>
        <w:t>TS 3</w:t>
      </w:r>
      <w:r>
        <w:rPr>
          <w:rFonts w:ascii="Arial" w:hAnsi="Arial" w:eastAsia="宋体" w:cs="Arial"/>
          <w:b/>
          <w:highlight w:val="yellow"/>
          <w:lang w:val="en-US"/>
        </w:rPr>
        <w:t>6</w:t>
      </w:r>
      <w:r>
        <w:rPr>
          <w:rFonts w:hint="eastAsia" w:ascii="Arial" w:hAnsi="Arial" w:eastAsia="宋体" w:cs="Arial"/>
          <w:b/>
          <w:highlight w:val="yellow"/>
        </w:rPr>
        <w:t>.5</w:t>
      </w:r>
      <w:r>
        <w:rPr>
          <w:rFonts w:hint="eastAsia" w:ascii="Arial" w:hAnsi="Arial" w:eastAsia="宋体" w:cs="Arial"/>
          <w:b/>
          <w:highlight w:val="yellow"/>
          <w:lang w:val="en-US" w:eastAsia="zh-CN"/>
        </w:rPr>
        <w:t>08</w:t>
      </w:r>
      <w:r>
        <w:rPr>
          <w:rFonts w:hint="eastAsia" w:ascii="Arial" w:hAnsi="Arial" w:eastAsia="宋体" w:cs="Arial"/>
          <w:b/>
          <w:highlight w:val="yellow"/>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yellow"/>
        </w:rPr>
      </w:pPr>
      <w:r>
        <w:rPr>
          <w:rFonts w:hint="eastAsia" w:ascii="Arial" w:hAnsi="Arial" w:cs="Arial" w:eastAsiaTheme="minorEastAsia"/>
          <w:highlight w:val="yellow"/>
        </w:rPr>
        <w:t>R5-234001r1</w:t>
      </w:r>
      <w:r>
        <w:rPr>
          <w:rFonts w:ascii="Arial" w:hAnsi="Arial" w:cs="Arial" w:eastAsiaTheme="minorEastAsia"/>
          <w:highlight w:val="yellow"/>
          <w:lang w:val="en-US"/>
        </w:rPr>
        <w:t xml:space="preserve"> </w:t>
      </w:r>
      <w:r>
        <w:rPr>
          <w:rFonts w:hint="eastAsia" w:ascii="Arial" w:hAnsi="Arial" w:cs="Arial" w:eastAsiaTheme="minorEastAsia"/>
          <w:highlight w:val="yellow"/>
        </w:rPr>
        <w:t>Addition of connection diagram for RRM NTN with GNSS simulator,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yellow"/>
        </w:rPr>
      </w:pPr>
      <w:r>
        <w:rPr>
          <w:rFonts w:hint="eastAsia" w:ascii="Arial" w:hAnsi="Arial" w:cs="Arial" w:eastAsiaTheme="minorEastAsia"/>
          <w:highlight w:val="yellow"/>
        </w:rPr>
        <w:t>R5-234091r1</w:t>
      </w:r>
      <w:r>
        <w:rPr>
          <w:rFonts w:ascii="Arial" w:hAnsi="Arial" w:cs="Arial" w:eastAsiaTheme="minorEastAsia"/>
          <w:highlight w:val="yellow"/>
          <w:lang w:val="en-US"/>
        </w:rPr>
        <w:t xml:space="preserve"> </w:t>
      </w:r>
      <w:r>
        <w:rPr>
          <w:rFonts w:hint="eastAsia" w:ascii="Arial" w:hAnsi="Arial" w:cs="Arial" w:eastAsiaTheme="minorEastAsia"/>
          <w:highlight w:val="yellow"/>
        </w:rPr>
        <w:t>Addition GNSS requirements for NTN testing,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yellow"/>
        </w:rPr>
      </w:pPr>
      <w:r>
        <w:rPr>
          <w:rFonts w:hint="eastAsia" w:ascii="Arial" w:hAnsi="Arial" w:cs="Arial" w:eastAsiaTheme="minorEastAsia"/>
          <w:highlight w:val="yellow"/>
        </w:rPr>
        <w:t>R5-235190</w:t>
      </w:r>
      <w:r>
        <w:rPr>
          <w:rFonts w:ascii="Arial" w:hAnsi="Arial" w:cs="Arial" w:eastAsiaTheme="minorEastAsia"/>
          <w:highlight w:val="yellow"/>
          <w:lang w:val="en-US"/>
        </w:rPr>
        <w:t xml:space="preserve"> </w:t>
      </w:r>
      <w:r>
        <w:rPr>
          <w:rFonts w:hint="eastAsia" w:ascii="Arial" w:hAnsi="Arial" w:cs="Arial" w:eastAsiaTheme="minorEastAsia"/>
          <w:highlight w:val="yellow"/>
        </w:rPr>
        <w:t>SystemInformationBlockType31-NB updates for RF conformance testing, 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yellow"/>
        </w:rPr>
      </w:pPr>
      <w:r>
        <w:rPr>
          <w:rFonts w:hint="eastAsia" w:ascii="Arial" w:hAnsi="Arial" w:cs="Arial" w:eastAsiaTheme="minorEastAsia"/>
          <w:highlight w:val="yellow"/>
        </w:rPr>
        <w:t>R5-235238r1</w:t>
      </w:r>
      <w:r>
        <w:rPr>
          <w:rFonts w:ascii="Arial" w:hAnsi="Arial" w:cs="Arial" w:eastAsiaTheme="minorEastAsia"/>
          <w:highlight w:val="yellow"/>
          <w:lang w:val="en-US"/>
        </w:rPr>
        <w:t xml:space="preserve"> </w:t>
      </w:r>
      <w:r>
        <w:rPr>
          <w:rFonts w:hint="eastAsia" w:ascii="Arial" w:hAnsi="Arial" w:cs="Arial" w:eastAsiaTheme="minorEastAsia"/>
          <w:highlight w:val="yellow"/>
        </w:rPr>
        <w:t>Common test environments for IOT-NTN testing, QUALCOMM Europe Inc. - Italy</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R5-233888</w:t>
      </w:r>
      <w:r>
        <w:rPr>
          <w:rFonts w:ascii="Arial" w:hAnsi="Arial" w:cs="Arial" w:eastAsiaTheme="minorEastAsia"/>
          <w:highlight w:val="none"/>
          <w:lang w:val="en-US"/>
        </w:rPr>
        <w:t xml:space="preserve"> </w:t>
      </w:r>
      <w:r>
        <w:rPr>
          <w:rFonts w:hint="eastAsia" w:ascii="Arial" w:hAnsi="Arial" w:cs="Arial" w:eastAsiaTheme="minorEastAsia"/>
          <w:highlight w:val="none"/>
        </w:rPr>
        <w:t>Add PICS and test applicability for NB-IOT NTN RRM new cases., MediaTek Beijing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R5-235758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13.4.3.1 RLM for OOS with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13.4.3.2 RLM for OOS with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13.4.3.3 RLM for IS with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13.4.3.4 RLM for IS with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13.4.3.5 RLM for IS without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13.4.3.6 RLM for IS without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13.4.3.7 RLM for OOS without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13.4.3.8 RLM for OOS without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R5-235759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13.4.2.1 for TA adjustment accuracy test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13.4.2.2 for TA adjustment accuracy test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13.4.1.1 for Transmit Timing Accuracy test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13.4.1.2 for Transmit Timing Accuracy test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13.4.1.3 for Transmit Timing Accuracy test under enhanced coverage with segment transmission in NGSO.,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cell configuration mapping for IOT NTN cases into Annex 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 xml:space="preserve">5927 </w:t>
      </w:r>
      <w:r>
        <w:rPr>
          <w:rFonts w:hint="eastAsia" w:ascii="Arial" w:hAnsi="Arial" w:cs="Arial" w:eastAsiaTheme="minorEastAsia"/>
          <w:highlight w:val="none"/>
        </w:rPr>
        <w:t>Addition of new test case 13.1.1.1 for cell reselection in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 xml:space="preserve">5928 </w:t>
      </w:r>
      <w:r>
        <w:rPr>
          <w:rFonts w:hint="eastAsia" w:ascii="Arial" w:hAnsi="Arial" w:cs="Arial" w:eastAsiaTheme="minorEastAsia"/>
          <w:highlight w:val="none"/>
        </w:rPr>
        <w:t>Addition of new test case 13.1.1.2 for cell reselection in normal coverage with serving cell RRM measurement relaxation,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5929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13.1.1.3 for cell reselection in normal coverage with UE specific DRX,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13.3.2.1 for NTN Random Access in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13.3.2.2 for NTN Random Access in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13.3.2.3 for NTN Random Access on Non-anchor Carrier in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13.6.2.1 for NTN Downlink channel quality reporting accuracy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13.6.2.2 for NTN Downlink channel quality reporting accuracy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13.6.2.3 for NTN Downlink channel quality reporting accuracy on non-anchor carrier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13.6.2.4 for NTN Downlink channel quality reporting accuracy on non-anchor carrier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w:t>
      </w:r>
      <w:r>
        <w:rPr>
          <w:rFonts w:hint="eastAsia" w:ascii="Arial" w:hAnsi="Arial" w:cs="Arial" w:eastAsiaTheme="minorEastAsia"/>
          <w:highlight w:val="none"/>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13.6.2.5 for NTN Downlink channel quality reporting accuracy in RRC_CONNECTED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13.6.2.6 for NTN Downlink channel quality reporting accuracy in RRC_CONNECTED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13.3.1.1 ReEST under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13.3.1.2 ReEST under enhanced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yellow"/>
        </w:rPr>
      </w:pPr>
      <w:r>
        <w:rPr>
          <w:rFonts w:hint="eastAsia" w:ascii="Arial" w:hAnsi="Arial" w:cs="Arial" w:eastAsiaTheme="minorEastAsia"/>
          <w:highlight w:val="yellow"/>
        </w:rPr>
        <w:t>R5-235183</w:t>
      </w:r>
      <w:r>
        <w:rPr>
          <w:rFonts w:ascii="Arial" w:hAnsi="Arial" w:cs="Arial" w:eastAsiaTheme="minorEastAsia"/>
          <w:highlight w:val="yellow"/>
          <w:lang w:val="en-US"/>
        </w:rPr>
        <w:t xml:space="preserve"> </w:t>
      </w:r>
      <w:r>
        <w:rPr>
          <w:rFonts w:hint="eastAsia" w:ascii="Arial" w:hAnsi="Arial" w:cs="Arial" w:eastAsiaTheme="minorEastAsia"/>
          <w:highlight w:val="yellow"/>
        </w:rPr>
        <w:t>New Annex I.8 definition for High level test procedure for SAN RRM tests,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clause 8.1 general description for NTN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8.2.1.1.1 eMTC PDSCH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8.3.1.1.1 NB-IoT NPDSCH test under NTN fading condition,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8.3.1.1.2 NB-IoT NPDSCH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8.3.1.1.3 NB-IoT NPDSCH test for NB2 only,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R5-235757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8.3.1.2.1 NB-IoT NPDCCH test,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R5-234189</w:t>
      </w:r>
      <w:r>
        <w:rPr>
          <w:rFonts w:ascii="Arial" w:hAnsi="Arial" w:cs="Arial" w:eastAsiaTheme="minorEastAsia"/>
          <w:highlight w:val="none"/>
          <w:lang w:val="en-US"/>
        </w:rPr>
        <w:t xml:space="preserve"> </w:t>
      </w:r>
      <w:r>
        <w:rPr>
          <w:rFonts w:hint="eastAsia" w:ascii="Arial" w:hAnsi="Arial" w:cs="Arial" w:eastAsiaTheme="minorEastAsia"/>
          <w:highlight w:val="none"/>
        </w:rPr>
        <w:t>NTN NB-IoT REFSENS test case definition,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R5-234231</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A-MPR NS value in 6.2A.3,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A-MPR NS value in 6.2B.3,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6.4A.2.1 Error Vector Magnitude (EVM)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6.4A.2.2 Carrier leakage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6.4A.2.3 In-band emissions for non allocated RB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6.4A.2.4 EVM equalizer spectrum flatness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6.4B.2.1 Error Vector Magnitude (EVM)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R5-234245</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6.4B.2.2 Carrier leakage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6.4B.2.3 In-band emissions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6.5A.2 Occupied bandwidth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6.5A.3.2 Spectrum emission mask,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6.5A.3.4 Adjacent Channel Leakage Ratio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6.5A.4.2 Transmitter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6.5A.4.3 Spurious emission band UE co-existence,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6.5A.4.4 Additional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6.5B.2 Occupied bandwidth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6.5B.3.2 Spectrum emission mask,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6.5B.3.4 Adjacent Channel Leakage Ratio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6.5B.4.2 Transmitter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6.5B.4.3 Spurious emission band UE co-existence,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6.5B.4.4 Additional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6.6B  Transmit intermodulation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R5-234758</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TC 6.3A.4.3 Aggregate power control tolerance for UE category M1,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R5-235761</w:t>
      </w:r>
      <w:r>
        <w:rPr>
          <w:rFonts w:ascii="Arial" w:hAnsi="Arial" w:cs="Arial" w:eastAsiaTheme="minorEastAsia"/>
          <w:highlight w:val="none"/>
          <w:lang w:val="en-US"/>
        </w:rPr>
        <w:t xml:space="preserve"> </w:t>
      </w:r>
      <w:r>
        <w:rPr>
          <w:rFonts w:hint="eastAsia" w:ascii="Arial" w:hAnsi="Arial" w:cs="Arial" w:eastAsiaTheme="minorEastAsia"/>
          <w:highlight w:val="none"/>
        </w:rPr>
        <w:t>Editorial changes in References of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A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R5-234761</w:t>
      </w:r>
      <w:r>
        <w:rPr>
          <w:rFonts w:ascii="Arial" w:hAnsi="Arial" w:cs="Arial" w:eastAsiaTheme="minorEastAsia"/>
          <w:highlight w:val="none"/>
          <w:lang w:val="en-US"/>
        </w:rPr>
        <w:t xml:space="preserve"> </w:t>
      </w:r>
      <w:r>
        <w:rPr>
          <w:rFonts w:hint="eastAsia" w:ascii="Arial" w:hAnsi="Arial" w:cs="Arial" w:eastAsiaTheme="minorEastAsia"/>
          <w:highlight w:val="none"/>
        </w:rPr>
        <w:t>Revise Annex B into Annex L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B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C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D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5942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E and Annex F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G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H and Annex I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J and Annex K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R5-235182</w:t>
      </w:r>
      <w:r>
        <w:rPr>
          <w:rFonts w:ascii="Arial" w:hAnsi="Arial" w:cs="Arial" w:eastAsiaTheme="minorEastAsia"/>
          <w:highlight w:val="yellow"/>
          <w:lang w:val="en-US"/>
        </w:rPr>
        <w:t xml:space="preserve"> </w:t>
      </w:r>
      <w:r>
        <w:rPr>
          <w:rFonts w:hint="eastAsia" w:ascii="Arial" w:hAnsi="Arial" w:cs="Arial" w:eastAsiaTheme="minorEastAsia"/>
          <w:highlight w:val="yellow"/>
        </w:rPr>
        <w:t>Clarifications to 36.521-4,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R5-235187r1</w:t>
      </w:r>
      <w:r>
        <w:rPr>
          <w:rFonts w:ascii="Arial" w:hAnsi="Arial" w:cs="Arial" w:eastAsiaTheme="minorEastAsia"/>
          <w:highlight w:val="yellow"/>
          <w:lang w:val="en-US"/>
        </w:rPr>
        <w:t xml:space="preserve"> </w:t>
      </w:r>
      <w:r>
        <w:rPr>
          <w:rFonts w:hint="eastAsia" w:ascii="Arial" w:hAnsi="Arial" w:cs="Arial" w:eastAsiaTheme="minorEastAsia"/>
          <w:highlight w:val="yellow"/>
        </w:rPr>
        <w:t>Initial conditions update for multiple test cases,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yellow"/>
        </w:rPr>
      </w:pPr>
      <w:r>
        <w:rPr>
          <w:rFonts w:hint="eastAsia" w:ascii="Arial" w:hAnsi="Arial" w:cs="Arial" w:eastAsiaTheme="minorEastAsia"/>
          <w:highlight w:val="yellow"/>
        </w:rPr>
        <w:t>R5-235191</w:t>
      </w:r>
      <w:r>
        <w:rPr>
          <w:rFonts w:ascii="Arial" w:hAnsi="Arial" w:cs="Arial" w:eastAsiaTheme="minorEastAsia"/>
          <w:highlight w:val="yellow"/>
          <w:lang w:val="en-US"/>
        </w:rPr>
        <w:t xml:space="preserve"> </w:t>
      </w:r>
      <w:r>
        <w:rPr>
          <w:rFonts w:hint="eastAsia" w:ascii="Arial" w:hAnsi="Arial" w:cs="Arial" w:eastAsiaTheme="minorEastAsia"/>
          <w:highlight w:val="yellow"/>
        </w:rPr>
        <w:t>Editor's note clean-up, Keysight Technologies UK Ltd</w:t>
      </w:r>
    </w:p>
    <w:p>
      <w:pPr>
        <w:numPr>
          <w:ilvl w:val="0"/>
          <w:numId w:val="10"/>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highlight w:val="none"/>
        </w:rPr>
        <w:t>R5-234757</w:t>
      </w:r>
      <w:r>
        <w:rPr>
          <w:rFonts w:ascii="Arial" w:hAnsi="Arial" w:cs="Arial" w:eastAsiaTheme="minorEastAsia"/>
          <w:highlight w:val="none"/>
          <w:lang w:val="en-US"/>
        </w:rPr>
        <w:t xml:space="preserve"> </w:t>
      </w:r>
      <w:r>
        <w:rPr>
          <w:rFonts w:hint="eastAsia" w:ascii="Arial" w:hAnsi="Arial" w:cs="Arial" w:eastAsiaTheme="minorEastAsia"/>
          <w:highlight w:val="none"/>
        </w:rPr>
        <w:t>Draft TS 36.521-4 v0.</w:t>
      </w:r>
      <w:r>
        <w:rPr>
          <w:rFonts w:hint="eastAsia" w:ascii="Arial" w:hAnsi="Arial" w:cs="Arial" w:eastAsiaTheme="minorEastAsia"/>
          <w:highlight w:val="none"/>
          <w:lang w:val="en-US" w:eastAsia="zh-CN"/>
        </w:rPr>
        <w:t>3</w:t>
      </w:r>
      <w:r>
        <w:rPr>
          <w:rFonts w:hint="eastAsia" w:ascii="Arial" w:hAnsi="Arial" w:cs="Arial" w:eastAsiaTheme="minorEastAsia"/>
          <w:highlight w:val="none"/>
        </w:rPr>
        <w:t>.0, CMCC</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R5-234769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of IoT NTN test point analysis</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E6C72CB5"/>
    <w:multiLevelType w:val="singleLevel"/>
    <w:tmpl w:val="E6C72CB5"/>
    <w:lvl w:ilvl="0" w:tentative="0">
      <w:start w:val="1"/>
      <w:numFmt w:val="decimal"/>
      <w:lvlText w:val="[%1]"/>
      <w:lvlJc w:val="left"/>
      <w:rPr>
        <w:b w:val="0"/>
      </w:rPr>
    </w:lvl>
  </w:abstractNum>
  <w:abstractNum w:abstractNumId="4">
    <w:nsid w:val="FCA84EEE"/>
    <w:multiLevelType w:val="singleLevel"/>
    <w:tmpl w:val="FCA84EEE"/>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1"/>
  </w:num>
  <w:num w:numId="8">
    <w:abstractNumId w:val="0"/>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909EB"/>
    <w:rsid w:val="08C0303F"/>
    <w:rsid w:val="08CA4C78"/>
    <w:rsid w:val="08F73AFF"/>
    <w:rsid w:val="0A934B7D"/>
    <w:rsid w:val="0AB16165"/>
    <w:rsid w:val="0ADC0554"/>
    <w:rsid w:val="0AEC1FBC"/>
    <w:rsid w:val="0B8C18E5"/>
    <w:rsid w:val="0BD93F8C"/>
    <w:rsid w:val="0C4247A1"/>
    <w:rsid w:val="0C437935"/>
    <w:rsid w:val="0C52731B"/>
    <w:rsid w:val="0CC143A0"/>
    <w:rsid w:val="0CCE7DF8"/>
    <w:rsid w:val="0D4F1A3A"/>
    <w:rsid w:val="0D6301B6"/>
    <w:rsid w:val="0DDB6ECB"/>
    <w:rsid w:val="0DDD0F23"/>
    <w:rsid w:val="0E041CB4"/>
    <w:rsid w:val="0E050F30"/>
    <w:rsid w:val="10211C2E"/>
    <w:rsid w:val="108D73EF"/>
    <w:rsid w:val="10B506EB"/>
    <w:rsid w:val="10F52B6E"/>
    <w:rsid w:val="11614015"/>
    <w:rsid w:val="11B11ADC"/>
    <w:rsid w:val="11B6439C"/>
    <w:rsid w:val="12230FDF"/>
    <w:rsid w:val="129D59D4"/>
    <w:rsid w:val="12EB6ADC"/>
    <w:rsid w:val="13C244F2"/>
    <w:rsid w:val="13CE75C4"/>
    <w:rsid w:val="140E52AD"/>
    <w:rsid w:val="143603B6"/>
    <w:rsid w:val="14B4509C"/>
    <w:rsid w:val="151644D5"/>
    <w:rsid w:val="15324AB7"/>
    <w:rsid w:val="157E4282"/>
    <w:rsid w:val="160C3730"/>
    <w:rsid w:val="16182EEA"/>
    <w:rsid w:val="171666D4"/>
    <w:rsid w:val="17E16027"/>
    <w:rsid w:val="17FA09E4"/>
    <w:rsid w:val="18120651"/>
    <w:rsid w:val="18C33C48"/>
    <w:rsid w:val="191B541E"/>
    <w:rsid w:val="199D5748"/>
    <w:rsid w:val="19DD70C1"/>
    <w:rsid w:val="19F41590"/>
    <w:rsid w:val="1A7172E1"/>
    <w:rsid w:val="1A78680F"/>
    <w:rsid w:val="1AB27FD4"/>
    <w:rsid w:val="1B537FAB"/>
    <w:rsid w:val="1B687D51"/>
    <w:rsid w:val="1BCB61E8"/>
    <w:rsid w:val="1BEE16E9"/>
    <w:rsid w:val="1C6542B2"/>
    <w:rsid w:val="1C6A4BF8"/>
    <w:rsid w:val="1D1D3289"/>
    <w:rsid w:val="1DB22A9C"/>
    <w:rsid w:val="1E2106D1"/>
    <w:rsid w:val="1E7D2085"/>
    <w:rsid w:val="1E8D1AAC"/>
    <w:rsid w:val="1EBE6975"/>
    <w:rsid w:val="1F646F04"/>
    <w:rsid w:val="1F96173A"/>
    <w:rsid w:val="1F9D0E06"/>
    <w:rsid w:val="1FBD1ABA"/>
    <w:rsid w:val="1FD55AE8"/>
    <w:rsid w:val="209D5060"/>
    <w:rsid w:val="20CB2FF0"/>
    <w:rsid w:val="20E950C5"/>
    <w:rsid w:val="21344B4A"/>
    <w:rsid w:val="213E2789"/>
    <w:rsid w:val="21AC235B"/>
    <w:rsid w:val="21D32B8D"/>
    <w:rsid w:val="21F962B2"/>
    <w:rsid w:val="22FC06E3"/>
    <w:rsid w:val="24057FFB"/>
    <w:rsid w:val="24140B3E"/>
    <w:rsid w:val="259957EC"/>
    <w:rsid w:val="260B6710"/>
    <w:rsid w:val="26A42548"/>
    <w:rsid w:val="26D9199B"/>
    <w:rsid w:val="272B7C0B"/>
    <w:rsid w:val="27452B8C"/>
    <w:rsid w:val="275A7663"/>
    <w:rsid w:val="276A1428"/>
    <w:rsid w:val="279C4099"/>
    <w:rsid w:val="289A71A7"/>
    <w:rsid w:val="29083E60"/>
    <w:rsid w:val="29B63A0A"/>
    <w:rsid w:val="2A1D1B25"/>
    <w:rsid w:val="2AA3517C"/>
    <w:rsid w:val="2AEF25C6"/>
    <w:rsid w:val="2B025C05"/>
    <w:rsid w:val="2B0262B8"/>
    <w:rsid w:val="2CEA3B3F"/>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0B369B"/>
    <w:rsid w:val="359E14C1"/>
    <w:rsid w:val="360A789F"/>
    <w:rsid w:val="362430B9"/>
    <w:rsid w:val="365F2F17"/>
    <w:rsid w:val="366C1F64"/>
    <w:rsid w:val="37192BB2"/>
    <w:rsid w:val="37FD0684"/>
    <w:rsid w:val="39FB4108"/>
    <w:rsid w:val="3B06367F"/>
    <w:rsid w:val="3B4E19A8"/>
    <w:rsid w:val="3B7518FD"/>
    <w:rsid w:val="3BBD2E75"/>
    <w:rsid w:val="3BD7776B"/>
    <w:rsid w:val="3C1267DA"/>
    <w:rsid w:val="3E051C88"/>
    <w:rsid w:val="3ECC4BE8"/>
    <w:rsid w:val="3F816D84"/>
    <w:rsid w:val="40192383"/>
    <w:rsid w:val="402F1A51"/>
    <w:rsid w:val="4041787C"/>
    <w:rsid w:val="421F2EEA"/>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CE65F4"/>
    <w:rsid w:val="490B77B8"/>
    <w:rsid w:val="492A3986"/>
    <w:rsid w:val="49956E69"/>
    <w:rsid w:val="49FE24F4"/>
    <w:rsid w:val="4A016A84"/>
    <w:rsid w:val="4A1E3DC9"/>
    <w:rsid w:val="4AB56D9A"/>
    <w:rsid w:val="4B0F7224"/>
    <w:rsid w:val="4C6E4F06"/>
    <w:rsid w:val="4E422279"/>
    <w:rsid w:val="4E5530CC"/>
    <w:rsid w:val="4EFD25E7"/>
    <w:rsid w:val="4F977586"/>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C23FFD"/>
    <w:rsid w:val="5A0E3BCE"/>
    <w:rsid w:val="5A466BC8"/>
    <w:rsid w:val="5A81521A"/>
    <w:rsid w:val="5A85323A"/>
    <w:rsid w:val="5ACC0548"/>
    <w:rsid w:val="5B980404"/>
    <w:rsid w:val="5BDB61ED"/>
    <w:rsid w:val="5C147E54"/>
    <w:rsid w:val="5D2D156D"/>
    <w:rsid w:val="5E8250F4"/>
    <w:rsid w:val="5EA178AA"/>
    <w:rsid w:val="5EA615D3"/>
    <w:rsid w:val="5F0A5107"/>
    <w:rsid w:val="6013139C"/>
    <w:rsid w:val="60291E96"/>
    <w:rsid w:val="61204966"/>
    <w:rsid w:val="61C12377"/>
    <w:rsid w:val="61CF1286"/>
    <w:rsid w:val="620A5BE8"/>
    <w:rsid w:val="6297146B"/>
    <w:rsid w:val="62AE701F"/>
    <w:rsid w:val="62B07544"/>
    <w:rsid w:val="63092CDD"/>
    <w:rsid w:val="63501A48"/>
    <w:rsid w:val="63EC1DBB"/>
    <w:rsid w:val="64A261C1"/>
    <w:rsid w:val="65B958B8"/>
    <w:rsid w:val="65DB6AA5"/>
    <w:rsid w:val="65DB6F70"/>
    <w:rsid w:val="661E3257"/>
    <w:rsid w:val="66383744"/>
    <w:rsid w:val="664916BB"/>
    <w:rsid w:val="66A45FF8"/>
    <w:rsid w:val="67B963F3"/>
    <w:rsid w:val="67BE2432"/>
    <w:rsid w:val="67CD70C1"/>
    <w:rsid w:val="685A2E59"/>
    <w:rsid w:val="6A5D1B30"/>
    <w:rsid w:val="6A7F6611"/>
    <w:rsid w:val="6AA83621"/>
    <w:rsid w:val="6B2B4ABB"/>
    <w:rsid w:val="6BCA0AC3"/>
    <w:rsid w:val="6BF016C9"/>
    <w:rsid w:val="6BF72930"/>
    <w:rsid w:val="6C154805"/>
    <w:rsid w:val="6D9B0F82"/>
    <w:rsid w:val="6DB872A1"/>
    <w:rsid w:val="6DC17F95"/>
    <w:rsid w:val="6E106458"/>
    <w:rsid w:val="6E114605"/>
    <w:rsid w:val="6E442EAE"/>
    <w:rsid w:val="6EFA4222"/>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B2398B"/>
    <w:rsid w:val="74D014A3"/>
    <w:rsid w:val="74FE75C0"/>
    <w:rsid w:val="751226C4"/>
    <w:rsid w:val="75F973DD"/>
    <w:rsid w:val="77B34C9B"/>
    <w:rsid w:val="793C6AE9"/>
    <w:rsid w:val="79404263"/>
    <w:rsid w:val="79E91CF9"/>
    <w:rsid w:val="7A651673"/>
    <w:rsid w:val="7AD97A3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2023-08-25T11:06:54Z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